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C212" w14:textId="77777777" w:rsidR="001B4EF5" w:rsidRPr="00446599" w:rsidRDefault="001B4EF5" w:rsidP="005D44AF">
      <w:pPr>
        <w:jc w:val="center"/>
        <w:rPr>
          <w:rFonts w:asciiTheme="minorHAnsi" w:hAnsiTheme="minorHAnsi" w:cstheme="minorHAnsi"/>
          <w:b/>
        </w:rPr>
      </w:pPr>
    </w:p>
    <w:tbl>
      <w:tblPr>
        <w:tblStyle w:val="TableGrid"/>
        <w:tblW w:w="0" w:type="auto"/>
        <w:tblLook w:val="04A0" w:firstRow="1" w:lastRow="0" w:firstColumn="1" w:lastColumn="0" w:noHBand="0" w:noVBand="1"/>
      </w:tblPr>
      <w:tblGrid>
        <w:gridCol w:w="558"/>
        <w:gridCol w:w="5580"/>
        <w:gridCol w:w="3438"/>
      </w:tblGrid>
      <w:tr w:rsidR="00A71D25" w14:paraId="6D74CD11" w14:textId="77777777" w:rsidTr="00EF28F9">
        <w:tc>
          <w:tcPr>
            <w:tcW w:w="558" w:type="dxa"/>
          </w:tcPr>
          <w:p w14:paraId="105E685C" w14:textId="7DBE21E0" w:rsidR="00A71D25" w:rsidRDefault="00EF28F9" w:rsidP="005D44AF">
            <w:pPr>
              <w:jc w:val="center"/>
              <w:rPr>
                <w:rFonts w:asciiTheme="minorHAnsi" w:hAnsiTheme="minorHAnsi" w:cstheme="minorHAnsi"/>
                <w:b/>
              </w:rPr>
            </w:pPr>
            <w:r>
              <w:rPr>
                <w:rFonts w:asciiTheme="minorHAnsi" w:hAnsiTheme="minorHAnsi" w:cstheme="minorHAnsi"/>
                <w:b/>
              </w:rPr>
              <w:t>#</w:t>
            </w:r>
          </w:p>
        </w:tc>
        <w:tc>
          <w:tcPr>
            <w:tcW w:w="5580" w:type="dxa"/>
          </w:tcPr>
          <w:p w14:paraId="10D6426E" w14:textId="1E4EF20B" w:rsidR="00A71D25" w:rsidRDefault="00A71D25" w:rsidP="005D44AF">
            <w:pPr>
              <w:jc w:val="center"/>
              <w:rPr>
                <w:rFonts w:asciiTheme="minorHAnsi" w:hAnsiTheme="minorHAnsi" w:cstheme="minorHAnsi"/>
                <w:b/>
              </w:rPr>
            </w:pPr>
            <w:r>
              <w:rPr>
                <w:rFonts w:asciiTheme="minorHAnsi" w:hAnsiTheme="minorHAnsi" w:cstheme="minorHAnsi"/>
                <w:b/>
              </w:rPr>
              <w:t>Question</w:t>
            </w:r>
          </w:p>
        </w:tc>
        <w:tc>
          <w:tcPr>
            <w:tcW w:w="3438" w:type="dxa"/>
          </w:tcPr>
          <w:p w14:paraId="06BF2180" w14:textId="039A9BCA" w:rsidR="00A71D25" w:rsidRDefault="00A71D25" w:rsidP="005D44AF">
            <w:pPr>
              <w:jc w:val="center"/>
              <w:rPr>
                <w:rFonts w:asciiTheme="minorHAnsi" w:hAnsiTheme="minorHAnsi" w:cstheme="minorHAnsi"/>
                <w:b/>
              </w:rPr>
            </w:pPr>
            <w:r>
              <w:rPr>
                <w:rFonts w:asciiTheme="minorHAnsi" w:hAnsiTheme="minorHAnsi" w:cstheme="minorHAnsi"/>
                <w:b/>
              </w:rPr>
              <w:t>Answer</w:t>
            </w:r>
          </w:p>
        </w:tc>
      </w:tr>
      <w:tr w:rsidR="00A71D25" w14:paraId="4707F234" w14:textId="77777777" w:rsidTr="00EF28F9">
        <w:tc>
          <w:tcPr>
            <w:tcW w:w="558" w:type="dxa"/>
          </w:tcPr>
          <w:p w14:paraId="1A04E707" w14:textId="249BE417" w:rsidR="00A71D25" w:rsidRDefault="00A71D25" w:rsidP="005D44AF">
            <w:pPr>
              <w:jc w:val="center"/>
              <w:rPr>
                <w:rFonts w:asciiTheme="minorHAnsi" w:hAnsiTheme="minorHAnsi" w:cstheme="minorHAnsi"/>
                <w:b/>
              </w:rPr>
            </w:pPr>
            <w:r>
              <w:rPr>
                <w:rFonts w:asciiTheme="minorHAnsi" w:hAnsiTheme="minorHAnsi" w:cstheme="minorHAnsi"/>
                <w:b/>
              </w:rPr>
              <w:t>1</w:t>
            </w:r>
          </w:p>
        </w:tc>
        <w:tc>
          <w:tcPr>
            <w:tcW w:w="5580" w:type="dxa"/>
          </w:tcPr>
          <w:p w14:paraId="47DEB3D7" w14:textId="77777777" w:rsidR="00A71D25" w:rsidRPr="00A71D25" w:rsidRDefault="00A71D25" w:rsidP="00A71D25">
            <w:pPr>
              <w:pStyle w:val="ListParagraph"/>
              <w:ind w:left="0"/>
              <w:rPr>
                <w:rFonts w:asciiTheme="minorHAnsi" w:hAnsiTheme="minorHAnsi" w:cstheme="minorHAnsi"/>
                <w:bCs/>
              </w:rPr>
            </w:pPr>
            <w:r w:rsidRPr="00A71D25">
              <w:rPr>
                <w:rFonts w:asciiTheme="minorHAnsi" w:hAnsiTheme="minorHAnsi" w:cstheme="minorHAnsi"/>
                <w:bCs/>
              </w:rPr>
              <w:t>Can you please provide the latest update (and any relevant data, if possible) for the mappings of GST and LPT to the Standard Service and LRS products for both energy and demand?</w:t>
            </w:r>
          </w:p>
          <w:p w14:paraId="491FA493" w14:textId="77777777" w:rsidR="00A71D25" w:rsidRDefault="00A71D25" w:rsidP="005D44AF">
            <w:pPr>
              <w:jc w:val="center"/>
              <w:rPr>
                <w:rFonts w:asciiTheme="minorHAnsi" w:hAnsiTheme="minorHAnsi" w:cstheme="minorHAnsi"/>
                <w:b/>
              </w:rPr>
            </w:pPr>
          </w:p>
        </w:tc>
        <w:tc>
          <w:tcPr>
            <w:tcW w:w="3438" w:type="dxa"/>
          </w:tcPr>
          <w:p w14:paraId="5DF97B9C" w14:textId="12582CA4" w:rsidR="00A71D25" w:rsidRPr="00A71D25" w:rsidRDefault="00A71D25" w:rsidP="00A71D25">
            <w:pPr>
              <w:rPr>
                <w:rFonts w:asciiTheme="minorHAnsi" w:hAnsiTheme="minorHAnsi" w:cstheme="minorHAnsi"/>
                <w:bCs/>
              </w:rPr>
            </w:pPr>
            <w:r w:rsidRPr="00A71D25">
              <w:rPr>
                <w:rFonts w:asciiTheme="minorHAnsi" w:hAnsiTheme="minorHAnsi" w:cstheme="minorHAnsi"/>
                <w:bCs/>
              </w:rPr>
              <w:t>Please see</w:t>
            </w:r>
            <w:r>
              <w:rPr>
                <w:rFonts w:asciiTheme="minorHAnsi" w:hAnsiTheme="minorHAnsi" w:cstheme="minorHAnsi"/>
                <w:bCs/>
              </w:rPr>
              <w:t xml:space="preserve"> UI’s</w:t>
            </w:r>
            <w:r w:rsidRPr="00A71D25">
              <w:rPr>
                <w:rFonts w:asciiTheme="minorHAnsi" w:hAnsiTheme="minorHAnsi" w:cstheme="minorHAnsi"/>
                <w:bCs/>
              </w:rPr>
              <w:t xml:space="preserve"> </w:t>
            </w:r>
            <w:hyperlink r:id="rId8" w:history="1">
              <w:r>
                <w:rPr>
                  <w:rStyle w:val="Hyperlink"/>
                  <w:rFonts w:asciiTheme="minorHAnsi" w:hAnsiTheme="minorHAnsi" w:cstheme="minorHAnsi"/>
                  <w:bCs/>
                </w:rPr>
                <w:t>Standard Service and Last Resort Service RFP</w:t>
              </w:r>
            </w:hyperlink>
            <w:r w:rsidRPr="00A71D25">
              <w:rPr>
                <w:rFonts w:asciiTheme="minorHAnsi" w:hAnsiTheme="minorHAnsi" w:cstheme="minorHAnsi"/>
                <w:bCs/>
              </w:rPr>
              <w:t xml:space="preserve"> Webpage for the latest mapping of GST and LPT to the Standard Service and LRS products for both energy and deman</w:t>
            </w:r>
            <w:r>
              <w:rPr>
                <w:rFonts w:asciiTheme="minorHAnsi" w:hAnsiTheme="minorHAnsi" w:cstheme="minorHAnsi"/>
                <w:bCs/>
              </w:rPr>
              <w:t>d</w:t>
            </w:r>
            <w:r w:rsidRPr="00A71D25">
              <w:rPr>
                <w:rFonts w:asciiTheme="minorHAnsi" w:hAnsiTheme="minorHAnsi" w:cstheme="minorHAnsi"/>
                <w:bCs/>
              </w:rPr>
              <w:t>.</w:t>
            </w:r>
          </w:p>
        </w:tc>
      </w:tr>
      <w:tr w:rsidR="00A71D25" w14:paraId="5FF9596B" w14:textId="77777777" w:rsidTr="00EF28F9">
        <w:tc>
          <w:tcPr>
            <w:tcW w:w="558" w:type="dxa"/>
          </w:tcPr>
          <w:p w14:paraId="077F3E74" w14:textId="0DD93820" w:rsidR="00A71D25" w:rsidRDefault="00A71D25" w:rsidP="005D44AF">
            <w:pPr>
              <w:jc w:val="center"/>
              <w:rPr>
                <w:rFonts w:asciiTheme="minorHAnsi" w:hAnsiTheme="minorHAnsi" w:cstheme="minorHAnsi"/>
                <w:b/>
              </w:rPr>
            </w:pPr>
            <w:r>
              <w:rPr>
                <w:rFonts w:asciiTheme="minorHAnsi" w:hAnsiTheme="minorHAnsi" w:cstheme="minorHAnsi"/>
                <w:b/>
              </w:rPr>
              <w:t>2</w:t>
            </w:r>
          </w:p>
        </w:tc>
        <w:tc>
          <w:tcPr>
            <w:tcW w:w="5580" w:type="dxa"/>
          </w:tcPr>
          <w:p w14:paraId="12BA0920" w14:textId="3C8AAAF7" w:rsidR="00A71D25" w:rsidRDefault="00A71D25" w:rsidP="00A71D25">
            <w:r>
              <w:t>Is an</w:t>
            </w:r>
            <w:r>
              <w:t xml:space="preserve"> electronically executable pre-bid L</w:t>
            </w:r>
            <w:r>
              <w:t>O</w:t>
            </w:r>
            <w:r>
              <w:t>C (</w:t>
            </w:r>
            <w:r>
              <w:t>in the same format provided in hard copy) acceptable?</w:t>
            </w:r>
          </w:p>
          <w:p w14:paraId="378BA86E" w14:textId="77777777" w:rsidR="00A71D25" w:rsidRDefault="00A71D25" w:rsidP="005D44AF">
            <w:pPr>
              <w:jc w:val="center"/>
              <w:rPr>
                <w:rFonts w:asciiTheme="minorHAnsi" w:hAnsiTheme="minorHAnsi" w:cstheme="minorHAnsi"/>
                <w:b/>
              </w:rPr>
            </w:pPr>
          </w:p>
        </w:tc>
        <w:tc>
          <w:tcPr>
            <w:tcW w:w="3438" w:type="dxa"/>
          </w:tcPr>
          <w:p w14:paraId="03C96376" w14:textId="2B02107F" w:rsidR="00A71D25" w:rsidRPr="00A71D25" w:rsidRDefault="00A71D25" w:rsidP="00A71D25">
            <w:pPr>
              <w:rPr>
                <w:rFonts w:asciiTheme="minorHAnsi" w:hAnsiTheme="minorHAnsi" w:cstheme="minorHAnsi"/>
                <w:bCs/>
              </w:rPr>
            </w:pPr>
            <w:r>
              <w:rPr>
                <w:rFonts w:asciiTheme="minorHAnsi" w:hAnsiTheme="minorHAnsi" w:cstheme="minorHAnsi"/>
                <w:bCs/>
              </w:rPr>
              <w:t>UI currently does accept electronically executed LOC’s. This was a process change due to COVID and is still appropriate at this time.</w:t>
            </w:r>
          </w:p>
        </w:tc>
      </w:tr>
      <w:tr w:rsidR="00A71D25" w14:paraId="484AE528" w14:textId="77777777" w:rsidTr="00EF28F9">
        <w:tc>
          <w:tcPr>
            <w:tcW w:w="558" w:type="dxa"/>
          </w:tcPr>
          <w:p w14:paraId="6B7F3EA6" w14:textId="065EF954" w:rsidR="00A71D25" w:rsidRDefault="00A71D25" w:rsidP="005D44AF">
            <w:pPr>
              <w:jc w:val="center"/>
              <w:rPr>
                <w:rFonts w:asciiTheme="minorHAnsi" w:hAnsiTheme="minorHAnsi" w:cstheme="minorHAnsi"/>
                <w:b/>
              </w:rPr>
            </w:pPr>
            <w:r>
              <w:rPr>
                <w:rFonts w:asciiTheme="minorHAnsi" w:hAnsiTheme="minorHAnsi" w:cstheme="minorHAnsi"/>
                <w:b/>
              </w:rPr>
              <w:t>3</w:t>
            </w:r>
          </w:p>
        </w:tc>
        <w:tc>
          <w:tcPr>
            <w:tcW w:w="5580" w:type="dxa"/>
          </w:tcPr>
          <w:p w14:paraId="0B93622A" w14:textId="6C1AA4E2" w:rsidR="00A71D25" w:rsidRPr="00A71D25" w:rsidRDefault="00A71D25" w:rsidP="00A71D25">
            <w:pPr>
              <w:rPr>
                <w:rFonts w:asciiTheme="minorHAnsi" w:hAnsiTheme="minorHAnsi" w:cstheme="minorHAnsi"/>
                <w:bCs/>
              </w:rPr>
            </w:pPr>
            <w:r>
              <w:rPr>
                <w:rFonts w:asciiTheme="minorHAnsi" w:hAnsiTheme="minorHAnsi" w:cstheme="minorHAnsi"/>
                <w:bCs/>
              </w:rPr>
              <w:t>Where can I find the most recent, trued-up load data?</w:t>
            </w:r>
          </w:p>
        </w:tc>
        <w:tc>
          <w:tcPr>
            <w:tcW w:w="3438" w:type="dxa"/>
          </w:tcPr>
          <w:p w14:paraId="3029A27A" w14:textId="5086A3D9" w:rsidR="00A71D25" w:rsidRPr="00A71D25" w:rsidRDefault="00A71D25" w:rsidP="00A71D25">
            <w:pPr>
              <w:rPr>
                <w:rFonts w:asciiTheme="minorHAnsi" w:hAnsiTheme="minorHAnsi" w:cstheme="minorHAnsi"/>
                <w:bCs/>
              </w:rPr>
            </w:pPr>
            <w:r>
              <w:rPr>
                <w:rFonts w:asciiTheme="minorHAnsi" w:hAnsiTheme="minorHAnsi" w:cstheme="minorHAnsi"/>
                <w:bCs/>
              </w:rPr>
              <w:t xml:space="preserve">Please see UI’s </w:t>
            </w:r>
            <w:hyperlink r:id="rId9" w:history="1">
              <w:r w:rsidRPr="00A71D25">
                <w:rPr>
                  <w:rStyle w:val="Hyperlink"/>
                  <w:rFonts w:asciiTheme="minorHAnsi" w:hAnsiTheme="minorHAnsi" w:cstheme="minorHAnsi"/>
                  <w:bCs/>
                </w:rPr>
                <w:t>Historical Load Data</w:t>
              </w:r>
            </w:hyperlink>
            <w:r>
              <w:rPr>
                <w:rFonts w:asciiTheme="minorHAnsi" w:hAnsiTheme="minorHAnsi" w:cstheme="minorHAnsi"/>
                <w:bCs/>
              </w:rPr>
              <w:t xml:space="preserve"> Webpage for the most recent, trued-up load data.</w:t>
            </w:r>
          </w:p>
        </w:tc>
      </w:tr>
      <w:tr w:rsidR="00A71D25" w14:paraId="1ADCD31E" w14:textId="77777777" w:rsidTr="00EF28F9">
        <w:tc>
          <w:tcPr>
            <w:tcW w:w="558" w:type="dxa"/>
          </w:tcPr>
          <w:p w14:paraId="4FC424A1" w14:textId="5BB557A8" w:rsidR="00A71D25" w:rsidRDefault="00A71D25" w:rsidP="005D44AF">
            <w:pPr>
              <w:jc w:val="center"/>
              <w:rPr>
                <w:rFonts w:asciiTheme="minorHAnsi" w:hAnsiTheme="minorHAnsi" w:cstheme="minorHAnsi"/>
                <w:b/>
              </w:rPr>
            </w:pPr>
            <w:r>
              <w:rPr>
                <w:rFonts w:asciiTheme="minorHAnsi" w:hAnsiTheme="minorHAnsi" w:cstheme="minorHAnsi"/>
                <w:b/>
              </w:rPr>
              <w:t>4</w:t>
            </w:r>
          </w:p>
        </w:tc>
        <w:tc>
          <w:tcPr>
            <w:tcW w:w="5580" w:type="dxa"/>
          </w:tcPr>
          <w:p w14:paraId="32BE1A78" w14:textId="368968A8" w:rsidR="00A71D25" w:rsidRPr="00A71D25" w:rsidRDefault="00A71D25" w:rsidP="00A71D25">
            <w:pPr>
              <w:rPr>
                <w:rFonts w:asciiTheme="minorHAnsi" w:hAnsiTheme="minorHAnsi" w:cstheme="minorHAnsi"/>
                <w:bCs/>
              </w:rPr>
            </w:pPr>
            <w:r>
              <w:rPr>
                <w:rFonts w:asciiTheme="minorHAnsi" w:hAnsiTheme="minorHAnsi" w:cstheme="minorHAnsi"/>
                <w:bCs/>
              </w:rPr>
              <w:t>Can you please provide wiring instructions for pre-bid amounts for the RFP?</w:t>
            </w:r>
          </w:p>
        </w:tc>
        <w:tc>
          <w:tcPr>
            <w:tcW w:w="3438" w:type="dxa"/>
          </w:tcPr>
          <w:p w14:paraId="420A293D" w14:textId="67A81596" w:rsidR="00A71D25" w:rsidRPr="00A71D25" w:rsidRDefault="00732CCD" w:rsidP="00A71D25">
            <w:pPr>
              <w:rPr>
                <w:rFonts w:asciiTheme="minorHAnsi" w:hAnsiTheme="minorHAnsi" w:cstheme="minorHAnsi"/>
                <w:bCs/>
              </w:rPr>
            </w:pPr>
            <w:r>
              <w:rPr>
                <w:rFonts w:asciiTheme="minorHAnsi" w:hAnsiTheme="minorHAnsi" w:cstheme="minorHAnsi"/>
                <w:bCs/>
              </w:rPr>
              <w:t xml:space="preserve">Please email </w:t>
            </w:r>
            <w:hyperlink r:id="rId10" w:history="1">
              <w:r w:rsidRPr="00B148ED">
                <w:rPr>
                  <w:rStyle w:val="Hyperlink"/>
                  <w:rFonts w:asciiTheme="minorHAnsi" w:hAnsiTheme="minorHAnsi" w:cstheme="minorHAnsi"/>
                  <w:bCs/>
                </w:rPr>
                <w:t>UIPower@uinet.com</w:t>
              </w:r>
            </w:hyperlink>
            <w:r>
              <w:rPr>
                <w:rFonts w:asciiTheme="minorHAnsi" w:hAnsiTheme="minorHAnsi" w:cstheme="minorHAnsi"/>
                <w:bCs/>
              </w:rPr>
              <w:t xml:space="preserve"> for wiring instructions.</w:t>
            </w:r>
          </w:p>
        </w:tc>
      </w:tr>
      <w:tr w:rsidR="00A71D25" w14:paraId="0EB0B7AD" w14:textId="77777777" w:rsidTr="00EF28F9">
        <w:tc>
          <w:tcPr>
            <w:tcW w:w="558" w:type="dxa"/>
          </w:tcPr>
          <w:p w14:paraId="31DD12F7" w14:textId="2C83219E" w:rsidR="00A71D25" w:rsidRDefault="00A71D25" w:rsidP="005D44AF">
            <w:pPr>
              <w:jc w:val="center"/>
              <w:rPr>
                <w:rFonts w:asciiTheme="minorHAnsi" w:hAnsiTheme="minorHAnsi" w:cstheme="minorHAnsi"/>
                <w:b/>
              </w:rPr>
            </w:pPr>
            <w:r>
              <w:rPr>
                <w:rFonts w:asciiTheme="minorHAnsi" w:hAnsiTheme="minorHAnsi" w:cstheme="minorHAnsi"/>
                <w:b/>
              </w:rPr>
              <w:t>5</w:t>
            </w:r>
          </w:p>
        </w:tc>
        <w:tc>
          <w:tcPr>
            <w:tcW w:w="5580" w:type="dxa"/>
          </w:tcPr>
          <w:p w14:paraId="092D5BCF" w14:textId="09AB2A68" w:rsidR="00A71D25" w:rsidRDefault="00A71D25" w:rsidP="00A71D25">
            <w:pPr>
              <w:rPr>
                <w:rFonts w:asciiTheme="minorHAnsi" w:hAnsiTheme="minorHAnsi" w:cstheme="minorHAnsi"/>
                <w:bCs/>
              </w:rPr>
            </w:pPr>
            <w:r>
              <w:rPr>
                <w:rFonts w:asciiTheme="minorHAnsi" w:hAnsiTheme="minorHAnsi" w:cstheme="minorHAnsi"/>
                <w:bCs/>
              </w:rPr>
              <w:t>Capacity values are not broken out by segment, so should bidders price by applying a percentage to this?</w:t>
            </w:r>
          </w:p>
        </w:tc>
        <w:tc>
          <w:tcPr>
            <w:tcW w:w="3438" w:type="dxa"/>
          </w:tcPr>
          <w:p w14:paraId="2C27D204" w14:textId="2E3E6722" w:rsidR="00A71D25" w:rsidRDefault="00A71D25" w:rsidP="00A71D25">
            <w:pPr>
              <w:rPr>
                <w:rFonts w:asciiTheme="minorHAnsi" w:hAnsiTheme="minorHAnsi" w:cstheme="minorHAnsi"/>
                <w:bCs/>
              </w:rPr>
            </w:pPr>
            <w:r>
              <w:rPr>
                <w:rFonts w:asciiTheme="minorHAnsi" w:hAnsiTheme="minorHAnsi" w:cstheme="minorHAnsi"/>
                <w:bCs/>
              </w:rPr>
              <w:t>P</w:t>
            </w:r>
            <w:r w:rsidRPr="00A71D25">
              <w:rPr>
                <w:rFonts w:asciiTheme="minorHAnsi" w:hAnsiTheme="minorHAnsi" w:cstheme="minorHAnsi"/>
                <w:bCs/>
              </w:rPr>
              <w:t xml:space="preserve">lease see the </w:t>
            </w:r>
            <w:hyperlink r:id="rId11" w:history="1">
              <w:r w:rsidRPr="00A71D25">
                <w:rPr>
                  <w:rStyle w:val="Hyperlink"/>
                  <w:rFonts w:asciiTheme="minorHAnsi" w:hAnsiTheme="minorHAnsi" w:cstheme="minorHAnsi"/>
                  <w:bCs/>
                </w:rPr>
                <w:t>Capacity Requests</w:t>
              </w:r>
            </w:hyperlink>
            <w:r>
              <w:rPr>
                <w:rFonts w:asciiTheme="minorHAnsi" w:hAnsiTheme="minorHAnsi" w:cstheme="minorHAnsi"/>
                <w:bCs/>
              </w:rPr>
              <w:t xml:space="preserve"> webpage on UI’s website</w:t>
            </w:r>
            <w:r w:rsidRPr="00A71D25">
              <w:rPr>
                <w:rFonts w:asciiTheme="minorHAnsi" w:hAnsiTheme="minorHAnsi" w:cstheme="minorHAnsi"/>
                <w:bCs/>
              </w:rPr>
              <w:t xml:space="preserve"> for information in ICAP data and how it’s calculated, and if you have further questions, please reach out to </w:t>
            </w:r>
            <w:hyperlink r:id="rId12" w:history="1">
              <w:r w:rsidRPr="00B148ED">
                <w:rPr>
                  <w:rStyle w:val="Hyperlink"/>
                  <w:rFonts w:asciiTheme="minorHAnsi" w:hAnsiTheme="minorHAnsi" w:cstheme="minorHAnsi"/>
                  <w:bCs/>
                </w:rPr>
                <w:t>uipower@uinet.com</w:t>
              </w:r>
            </w:hyperlink>
            <w:r>
              <w:rPr>
                <w:rFonts w:asciiTheme="minorHAnsi" w:hAnsiTheme="minorHAnsi" w:cstheme="minorHAnsi"/>
                <w:bCs/>
              </w:rPr>
              <w:t xml:space="preserve">. </w:t>
            </w:r>
          </w:p>
        </w:tc>
      </w:tr>
      <w:tr w:rsidR="00A71D25" w14:paraId="04E8D78B" w14:textId="77777777" w:rsidTr="00EF28F9">
        <w:tc>
          <w:tcPr>
            <w:tcW w:w="558" w:type="dxa"/>
          </w:tcPr>
          <w:p w14:paraId="783D1794" w14:textId="7A0660E4" w:rsidR="00A71D25" w:rsidRDefault="00A71D25" w:rsidP="005D44AF">
            <w:pPr>
              <w:jc w:val="center"/>
              <w:rPr>
                <w:rFonts w:asciiTheme="minorHAnsi" w:hAnsiTheme="minorHAnsi" w:cstheme="minorHAnsi"/>
                <w:b/>
              </w:rPr>
            </w:pPr>
            <w:r>
              <w:rPr>
                <w:rFonts w:asciiTheme="minorHAnsi" w:hAnsiTheme="minorHAnsi" w:cstheme="minorHAnsi"/>
                <w:b/>
              </w:rPr>
              <w:t>6</w:t>
            </w:r>
          </w:p>
        </w:tc>
        <w:tc>
          <w:tcPr>
            <w:tcW w:w="5580" w:type="dxa"/>
          </w:tcPr>
          <w:p w14:paraId="5ABE75C9" w14:textId="432B4C96" w:rsidR="00A71D25" w:rsidRDefault="00EF28F9" w:rsidP="00A71D25">
            <w:pPr>
              <w:rPr>
                <w:rFonts w:asciiTheme="minorHAnsi" w:hAnsiTheme="minorHAnsi" w:cstheme="minorHAnsi"/>
                <w:bCs/>
              </w:rPr>
            </w:pPr>
            <w:r>
              <w:rPr>
                <w:rFonts w:asciiTheme="minorHAnsi" w:hAnsiTheme="minorHAnsi" w:cstheme="minorHAnsi"/>
                <w:bCs/>
              </w:rPr>
              <w:t>Are linked bids currently accepted</w:t>
            </w:r>
            <w:r w:rsidR="00A71D25">
              <w:rPr>
                <w:rFonts w:asciiTheme="minorHAnsi" w:hAnsiTheme="minorHAnsi" w:cstheme="minorHAnsi"/>
                <w:bCs/>
              </w:rPr>
              <w:t xml:space="preserve"> in the </w:t>
            </w:r>
            <w:r>
              <w:rPr>
                <w:rFonts w:asciiTheme="minorHAnsi" w:hAnsiTheme="minorHAnsi" w:cstheme="minorHAnsi"/>
                <w:bCs/>
              </w:rPr>
              <w:t>UI Standard Service &amp; Last Resort Service RFPs?</w:t>
            </w:r>
          </w:p>
        </w:tc>
        <w:tc>
          <w:tcPr>
            <w:tcW w:w="3438" w:type="dxa"/>
          </w:tcPr>
          <w:p w14:paraId="57B9907C" w14:textId="6F25E4B7" w:rsidR="00A71D25" w:rsidRDefault="00EF28F9" w:rsidP="00A71D25">
            <w:pPr>
              <w:rPr>
                <w:rFonts w:asciiTheme="minorHAnsi" w:hAnsiTheme="minorHAnsi" w:cstheme="minorHAnsi"/>
                <w:bCs/>
              </w:rPr>
            </w:pPr>
            <w:r>
              <w:rPr>
                <w:rFonts w:asciiTheme="minorHAnsi" w:hAnsiTheme="minorHAnsi" w:cstheme="minorHAnsi"/>
                <w:bCs/>
              </w:rPr>
              <w:t>UI is currently not accepting linked bids in the UI Standard Service &amp; Last Resort Service RFPs.</w:t>
            </w:r>
          </w:p>
        </w:tc>
      </w:tr>
    </w:tbl>
    <w:p w14:paraId="2A840952" w14:textId="201FFF80" w:rsidR="00406CD6" w:rsidRPr="00A71D25" w:rsidRDefault="00406CD6" w:rsidP="00A71D25"/>
    <w:sectPr w:rsidR="00406CD6" w:rsidRPr="00A71D2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722A" w14:textId="77777777" w:rsidR="00145D03" w:rsidRDefault="00145D03" w:rsidP="007E2346">
      <w:r>
        <w:separator/>
      </w:r>
    </w:p>
  </w:endnote>
  <w:endnote w:type="continuationSeparator" w:id="0">
    <w:p w14:paraId="57B63D3B" w14:textId="77777777" w:rsidR="00145D03" w:rsidRDefault="00145D03" w:rsidP="007E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8F9B" w14:textId="278221CB" w:rsidR="00D83D95" w:rsidRDefault="00732CCD">
    <w:pPr>
      <w:pStyle w:val="Footer"/>
      <w:jc w:val="center"/>
    </w:pPr>
    <w:sdt>
      <w:sdtPr>
        <w:id w:val="1094050450"/>
        <w:docPartObj>
          <w:docPartGallery w:val="Page Numbers (Bottom of Page)"/>
          <w:docPartUnique/>
        </w:docPartObj>
      </w:sdtPr>
      <w:sdtEndPr>
        <w:rPr>
          <w:noProof/>
        </w:rPr>
      </w:sdtEndPr>
      <w:sdtContent>
        <w:r w:rsidR="00D83D95">
          <w:fldChar w:fldCharType="begin"/>
        </w:r>
        <w:r w:rsidR="00D83D95">
          <w:instrText xml:space="preserve"> PAGE   \* MERGEFORMAT </w:instrText>
        </w:r>
        <w:r w:rsidR="00D83D95">
          <w:fldChar w:fldCharType="separate"/>
        </w:r>
        <w:r w:rsidR="00697403">
          <w:rPr>
            <w:noProof/>
          </w:rPr>
          <w:t>1</w:t>
        </w:r>
        <w:r w:rsidR="00D83D95">
          <w:rPr>
            <w:noProof/>
          </w:rPr>
          <w:fldChar w:fldCharType="end"/>
        </w:r>
      </w:sdtContent>
    </w:sdt>
  </w:p>
  <w:p w14:paraId="465C04FA" w14:textId="77777777" w:rsidR="00D83D95" w:rsidRDefault="00D83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5CDF" w14:textId="77777777" w:rsidR="00145D03" w:rsidRDefault="00145D03" w:rsidP="007E2346">
      <w:r>
        <w:separator/>
      </w:r>
    </w:p>
  </w:footnote>
  <w:footnote w:type="continuationSeparator" w:id="0">
    <w:p w14:paraId="75546293" w14:textId="77777777" w:rsidR="00145D03" w:rsidRDefault="00145D03" w:rsidP="007E2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D725" w14:textId="1F8D2167" w:rsidR="00C117BD" w:rsidRPr="00446599" w:rsidRDefault="00EF28F9" w:rsidP="00C117BD">
    <w:pPr>
      <w:jc w:val="center"/>
      <w:rPr>
        <w:rFonts w:asciiTheme="minorHAnsi" w:hAnsiTheme="minorHAnsi" w:cstheme="minorHAnsi"/>
        <w:b/>
      </w:rPr>
    </w:pPr>
    <w:r>
      <w:rPr>
        <w:noProof/>
      </w:rPr>
      <w:drawing>
        <wp:anchor distT="0" distB="0" distL="114300" distR="114300" simplePos="0" relativeHeight="251658240" behindDoc="1" locked="0" layoutInCell="1" allowOverlap="1" wp14:anchorId="4602EC61" wp14:editId="4D4FDF31">
          <wp:simplePos x="0" y="0"/>
          <wp:positionH relativeFrom="column">
            <wp:posOffset>-607161</wp:posOffset>
          </wp:positionH>
          <wp:positionV relativeFrom="paragraph">
            <wp:posOffset>-574726</wp:posOffset>
          </wp:positionV>
          <wp:extent cx="914400" cy="914400"/>
          <wp:effectExtent l="0" t="0" r="0" b="0"/>
          <wp:wrapTight wrapText="bothSides">
            <wp:wrapPolygon edited="0">
              <wp:start x="0" y="0"/>
              <wp:lineTo x="0" y="21150"/>
              <wp:lineTo x="21150" y="21150"/>
              <wp:lineTo x="211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D25">
      <w:rPr>
        <w:rFonts w:asciiTheme="minorHAnsi" w:hAnsiTheme="minorHAnsi" w:cstheme="minorHAnsi"/>
        <w:b/>
      </w:rPr>
      <w:t xml:space="preserve">Standard Service &amp; Last Resort Service </w:t>
    </w:r>
    <w:r w:rsidR="00C117BD" w:rsidRPr="00446599">
      <w:rPr>
        <w:rFonts w:asciiTheme="minorHAnsi" w:hAnsiTheme="minorHAnsi" w:cstheme="minorHAnsi"/>
        <w:b/>
      </w:rPr>
      <w:t xml:space="preserve">RFP </w:t>
    </w:r>
  </w:p>
  <w:p w14:paraId="475C756A" w14:textId="77777777" w:rsidR="00C117BD" w:rsidRDefault="00C117BD" w:rsidP="00C117BD">
    <w:pPr>
      <w:jc w:val="center"/>
      <w:rPr>
        <w:rFonts w:asciiTheme="minorHAnsi" w:hAnsiTheme="minorHAnsi" w:cstheme="minorHAnsi"/>
        <w:b/>
      </w:rPr>
    </w:pPr>
    <w:r w:rsidRPr="00446599">
      <w:rPr>
        <w:rFonts w:asciiTheme="minorHAnsi" w:hAnsiTheme="minorHAnsi" w:cstheme="minorHAnsi"/>
        <w:b/>
      </w:rPr>
      <w:t>Question &amp; Answer Document</w:t>
    </w:r>
  </w:p>
  <w:p w14:paraId="41114E95" w14:textId="77777777" w:rsidR="00C117BD" w:rsidRDefault="00C117BD" w:rsidP="007B49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730"/>
    <w:multiLevelType w:val="hybridMultilevel"/>
    <w:tmpl w:val="1C64956A"/>
    <w:lvl w:ilvl="0" w:tplc="9F46A6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2DC7"/>
    <w:multiLevelType w:val="hybridMultilevel"/>
    <w:tmpl w:val="E5D81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543BB"/>
    <w:multiLevelType w:val="hybridMultilevel"/>
    <w:tmpl w:val="6474263A"/>
    <w:lvl w:ilvl="0" w:tplc="9F46A6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70D46"/>
    <w:multiLevelType w:val="hybridMultilevel"/>
    <w:tmpl w:val="E5D0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A164C"/>
    <w:multiLevelType w:val="hybridMultilevel"/>
    <w:tmpl w:val="21088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2419F"/>
    <w:multiLevelType w:val="hybridMultilevel"/>
    <w:tmpl w:val="275405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FF1979"/>
    <w:multiLevelType w:val="hybridMultilevel"/>
    <w:tmpl w:val="8462119A"/>
    <w:lvl w:ilvl="0" w:tplc="9F46A6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F1CB0"/>
    <w:multiLevelType w:val="hybridMultilevel"/>
    <w:tmpl w:val="F93630C0"/>
    <w:lvl w:ilvl="0" w:tplc="BEF0B5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D3B40"/>
    <w:multiLevelType w:val="hybridMultilevel"/>
    <w:tmpl w:val="F93630C0"/>
    <w:lvl w:ilvl="0" w:tplc="BEF0B5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21455"/>
    <w:multiLevelType w:val="multilevel"/>
    <w:tmpl w:val="540E2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22C2D5E"/>
    <w:multiLevelType w:val="hybridMultilevel"/>
    <w:tmpl w:val="9FA87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B26358"/>
    <w:multiLevelType w:val="hybridMultilevel"/>
    <w:tmpl w:val="41E6871E"/>
    <w:lvl w:ilvl="0" w:tplc="9F46A6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7"/>
  </w:num>
  <w:num w:numId="5">
    <w:abstractNumId w:val="8"/>
  </w:num>
  <w:num w:numId="6">
    <w:abstractNumId w:val="3"/>
  </w:num>
  <w:num w:numId="7">
    <w:abstractNumId w:val="11"/>
  </w:num>
  <w:num w:numId="8">
    <w:abstractNumId w:val="2"/>
  </w:num>
  <w:num w:numId="9">
    <w:abstractNumId w:val="0"/>
  </w:num>
  <w:num w:numId="10">
    <w:abstractNumId w:val="5"/>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B6E"/>
    <w:rsid w:val="0001749D"/>
    <w:rsid w:val="00055A5B"/>
    <w:rsid w:val="00065A6C"/>
    <w:rsid w:val="000866A5"/>
    <w:rsid w:val="000B7374"/>
    <w:rsid w:val="000D5977"/>
    <w:rsid w:val="000F1DF1"/>
    <w:rsid w:val="000F5F96"/>
    <w:rsid w:val="00107013"/>
    <w:rsid w:val="00114E5F"/>
    <w:rsid w:val="00117BE8"/>
    <w:rsid w:val="00136538"/>
    <w:rsid w:val="00145D03"/>
    <w:rsid w:val="0017417D"/>
    <w:rsid w:val="001B4EF5"/>
    <w:rsid w:val="00216901"/>
    <w:rsid w:val="00255C32"/>
    <w:rsid w:val="002677BA"/>
    <w:rsid w:val="00274FC2"/>
    <w:rsid w:val="00280680"/>
    <w:rsid w:val="002D7328"/>
    <w:rsid w:val="00305521"/>
    <w:rsid w:val="003100AC"/>
    <w:rsid w:val="0031090F"/>
    <w:rsid w:val="003466B4"/>
    <w:rsid w:val="00350D94"/>
    <w:rsid w:val="00381C53"/>
    <w:rsid w:val="003C12D3"/>
    <w:rsid w:val="003D240D"/>
    <w:rsid w:val="003F5551"/>
    <w:rsid w:val="00406CD6"/>
    <w:rsid w:val="00446599"/>
    <w:rsid w:val="00481CB6"/>
    <w:rsid w:val="004A5D30"/>
    <w:rsid w:val="004E10D0"/>
    <w:rsid w:val="004E71B6"/>
    <w:rsid w:val="005101CD"/>
    <w:rsid w:val="00517A55"/>
    <w:rsid w:val="005564AF"/>
    <w:rsid w:val="005D26CE"/>
    <w:rsid w:val="005D44AF"/>
    <w:rsid w:val="005F26A1"/>
    <w:rsid w:val="0067096A"/>
    <w:rsid w:val="006829D1"/>
    <w:rsid w:val="00682A50"/>
    <w:rsid w:val="00697403"/>
    <w:rsid w:val="006A7286"/>
    <w:rsid w:val="006C09BF"/>
    <w:rsid w:val="00702DFE"/>
    <w:rsid w:val="00707B6E"/>
    <w:rsid w:val="00732CCD"/>
    <w:rsid w:val="007503F7"/>
    <w:rsid w:val="00755409"/>
    <w:rsid w:val="007949E9"/>
    <w:rsid w:val="007B495E"/>
    <w:rsid w:val="007C187D"/>
    <w:rsid w:val="007E2346"/>
    <w:rsid w:val="00800F0C"/>
    <w:rsid w:val="00822B72"/>
    <w:rsid w:val="00825F0A"/>
    <w:rsid w:val="00887857"/>
    <w:rsid w:val="008D520B"/>
    <w:rsid w:val="009110D9"/>
    <w:rsid w:val="009601E1"/>
    <w:rsid w:val="00984D5F"/>
    <w:rsid w:val="0099020F"/>
    <w:rsid w:val="009914CE"/>
    <w:rsid w:val="009951E4"/>
    <w:rsid w:val="009C409B"/>
    <w:rsid w:val="009E1413"/>
    <w:rsid w:val="009F012B"/>
    <w:rsid w:val="009F70FF"/>
    <w:rsid w:val="00A4630F"/>
    <w:rsid w:val="00A71D25"/>
    <w:rsid w:val="00A82A07"/>
    <w:rsid w:val="00A911CE"/>
    <w:rsid w:val="00A97C13"/>
    <w:rsid w:val="00B20397"/>
    <w:rsid w:val="00B34918"/>
    <w:rsid w:val="00B412E9"/>
    <w:rsid w:val="00BB6F0C"/>
    <w:rsid w:val="00BE46DA"/>
    <w:rsid w:val="00C117BD"/>
    <w:rsid w:val="00C178D3"/>
    <w:rsid w:val="00C1798D"/>
    <w:rsid w:val="00CB5489"/>
    <w:rsid w:val="00D43D06"/>
    <w:rsid w:val="00D468F8"/>
    <w:rsid w:val="00D77D96"/>
    <w:rsid w:val="00D83D95"/>
    <w:rsid w:val="00DA63BC"/>
    <w:rsid w:val="00DB61DD"/>
    <w:rsid w:val="00DC5FA3"/>
    <w:rsid w:val="00E33E05"/>
    <w:rsid w:val="00E65974"/>
    <w:rsid w:val="00E92985"/>
    <w:rsid w:val="00EF28F9"/>
    <w:rsid w:val="00F06460"/>
    <w:rsid w:val="00F13C9D"/>
    <w:rsid w:val="00F2300A"/>
    <w:rsid w:val="00F430A6"/>
    <w:rsid w:val="00F638CC"/>
    <w:rsid w:val="00FB4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0CE6E5"/>
  <w15:docId w15:val="{4160ADC6-7D3A-47A0-81BD-D0521F9E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0FF"/>
    <w:pPr>
      <w:spacing w:after="0" w:line="240" w:lineRule="auto"/>
    </w:pPr>
    <w:rPr>
      <w:rFonts w:ascii="Calibri" w:hAnsi="Calibri" w:cs="Calibri"/>
    </w:rPr>
  </w:style>
  <w:style w:type="paragraph" w:styleId="Heading1">
    <w:name w:val="heading 1"/>
    <w:basedOn w:val="Normal"/>
    <w:next w:val="Normal"/>
    <w:link w:val="Heading1Char"/>
    <w:uiPriority w:val="9"/>
    <w:qFormat/>
    <w:rsid w:val="00E659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B6E"/>
    <w:pPr>
      <w:ind w:left="720"/>
      <w:contextualSpacing/>
    </w:pPr>
  </w:style>
  <w:style w:type="character" w:styleId="CommentReference">
    <w:name w:val="annotation reference"/>
    <w:basedOn w:val="DefaultParagraphFont"/>
    <w:uiPriority w:val="99"/>
    <w:semiHidden/>
    <w:unhideWhenUsed/>
    <w:rsid w:val="009951E4"/>
    <w:rPr>
      <w:sz w:val="16"/>
      <w:szCs w:val="16"/>
    </w:rPr>
  </w:style>
  <w:style w:type="paragraph" w:styleId="CommentText">
    <w:name w:val="annotation text"/>
    <w:basedOn w:val="Normal"/>
    <w:link w:val="CommentTextChar"/>
    <w:uiPriority w:val="99"/>
    <w:semiHidden/>
    <w:unhideWhenUsed/>
    <w:rsid w:val="009951E4"/>
    <w:rPr>
      <w:sz w:val="20"/>
      <w:szCs w:val="20"/>
    </w:rPr>
  </w:style>
  <w:style w:type="character" w:customStyle="1" w:styleId="CommentTextChar">
    <w:name w:val="Comment Text Char"/>
    <w:basedOn w:val="DefaultParagraphFont"/>
    <w:link w:val="CommentText"/>
    <w:uiPriority w:val="99"/>
    <w:semiHidden/>
    <w:rsid w:val="009951E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951E4"/>
    <w:rPr>
      <w:b/>
      <w:bCs/>
    </w:rPr>
  </w:style>
  <w:style w:type="character" w:customStyle="1" w:styleId="CommentSubjectChar">
    <w:name w:val="Comment Subject Char"/>
    <w:basedOn w:val="CommentTextChar"/>
    <w:link w:val="CommentSubject"/>
    <w:uiPriority w:val="99"/>
    <w:semiHidden/>
    <w:rsid w:val="009951E4"/>
    <w:rPr>
      <w:rFonts w:ascii="Calibri" w:hAnsi="Calibri" w:cs="Calibri"/>
      <w:b/>
      <w:bCs/>
      <w:sz w:val="20"/>
      <w:szCs w:val="20"/>
    </w:rPr>
  </w:style>
  <w:style w:type="paragraph" w:styleId="BalloonText">
    <w:name w:val="Balloon Text"/>
    <w:basedOn w:val="Normal"/>
    <w:link w:val="BalloonTextChar"/>
    <w:uiPriority w:val="99"/>
    <w:semiHidden/>
    <w:unhideWhenUsed/>
    <w:rsid w:val="009951E4"/>
    <w:rPr>
      <w:rFonts w:ascii="Tahoma" w:hAnsi="Tahoma" w:cs="Tahoma"/>
      <w:sz w:val="16"/>
      <w:szCs w:val="16"/>
    </w:rPr>
  </w:style>
  <w:style w:type="character" w:customStyle="1" w:styleId="BalloonTextChar">
    <w:name w:val="Balloon Text Char"/>
    <w:basedOn w:val="DefaultParagraphFont"/>
    <w:link w:val="BalloonText"/>
    <w:uiPriority w:val="99"/>
    <w:semiHidden/>
    <w:rsid w:val="009951E4"/>
    <w:rPr>
      <w:rFonts w:ascii="Tahoma" w:hAnsi="Tahoma" w:cs="Tahoma"/>
      <w:sz w:val="16"/>
      <w:szCs w:val="16"/>
    </w:rPr>
  </w:style>
  <w:style w:type="paragraph" w:customStyle="1" w:styleId="Default">
    <w:name w:val="Default"/>
    <w:rsid w:val="007E23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E2346"/>
    <w:rPr>
      <w:color w:val="0000FF" w:themeColor="hyperlink"/>
      <w:u w:val="single"/>
    </w:rPr>
  </w:style>
  <w:style w:type="paragraph" w:styleId="FootnoteText">
    <w:name w:val="footnote text"/>
    <w:basedOn w:val="Normal"/>
    <w:link w:val="FootnoteTextChar"/>
    <w:uiPriority w:val="99"/>
    <w:semiHidden/>
    <w:unhideWhenUsed/>
    <w:rsid w:val="007E2346"/>
    <w:rPr>
      <w:sz w:val="20"/>
      <w:szCs w:val="20"/>
    </w:rPr>
  </w:style>
  <w:style w:type="character" w:customStyle="1" w:styleId="FootnoteTextChar">
    <w:name w:val="Footnote Text Char"/>
    <w:basedOn w:val="DefaultParagraphFont"/>
    <w:link w:val="FootnoteText"/>
    <w:uiPriority w:val="99"/>
    <w:semiHidden/>
    <w:rsid w:val="007E2346"/>
    <w:rPr>
      <w:rFonts w:ascii="Calibri" w:hAnsi="Calibri" w:cs="Calibri"/>
      <w:sz w:val="20"/>
      <w:szCs w:val="20"/>
    </w:rPr>
  </w:style>
  <w:style w:type="character" w:styleId="FootnoteReference">
    <w:name w:val="footnote reference"/>
    <w:basedOn w:val="DefaultParagraphFont"/>
    <w:uiPriority w:val="99"/>
    <w:semiHidden/>
    <w:unhideWhenUsed/>
    <w:rsid w:val="007E2346"/>
    <w:rPr>
      <w:vertAlign w:val="superscript"/>
    </w:rPr>
  </w:style>
  <w:style w:type="paragraph" w:styleId="Header">
    <w:name w:val="header"/>
    <w:basedOn w:val="Normal"/>
    <w:link w:val="HeaderChar"/>
    <w:uiPriority w:val="99"/>
    <w:unhideWhenUsed/>
    <w:rsid w:val="00D83D95"/>
    <w:pPr>
      <w:tabs>
        <w:tab w:val="center" w:pos="4680"/>
        <w:tab w:val="right" w:pos="9360"/>
      </w:tabs>
    </w:pPr>
  </w:style>
  <w:style w:type="character" w:customStyle="1" w:styleId="HeaderChar">
    <w:name w:val="Header Char"/>
    <w:basedOn w:val="DefaultParagraphFont"/>
    <w:link w:val="Header"/>
    <w:uiPriority w:val="99"/>
    <w:rsid w:val="00D83D95"/>
    <w:rPr>
      <w:rFonts w:ascii="Calibri" w:hAnsi="Calibri" w:cs="Calibri"/>
    </w:rPr>
  </w:style>
  <w:style w:type="paragraph" w:styleId="Footer">
    <w:name w:val="footer"/>
    <w:basedOn w:val="Normal"/>
    <w:link w:val="FooterChar"/>
    <w:uiPriority w:val="99"/>
    <w:unhideWhenUsed/>
    <w:rsid w:val="00D83D95"/>
    <w:pPr>
      <w:tabs>
        <w:tab w:val="center" w:pos="4680"/>
        <w:tab w:val="right" w:pos="9360"/>
      </w:tabs>
    </w:pPr>
  </w:style>
  <w:style w:type="character" w:customStyle="1" w:styleId="FooterChar">
    <w:name w:val="Footer Char"/>
    <w:basedOn w:val="DefaultParagraphFont"/>
    <w:link w:val="Footer"/>
    <w:uiPriority w:val="99"/>
    <w:rsid w:val="00D83D95"/>
    <w:rPr>
      <w:rFonts w:ascii="Calibri" w:hAnsi="Calibri" w:cs="Calibri"/>
    </w:rPr>
  </w:style>
  <w:style w:type="character" w:customStyle="1" w:styleId="Heading1Char">
    <w:name w:val="Heading 1 Char"/>
    <w:basedOn w:val="DefaultParagraphFont"/>
    <w:link w:val="Heading1"/>
    <w:uiPriority w:val="9"/>
    <w:rsid w:val="00E6597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unhideWhenUsed/>
    <w:rsid w:val="00A7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1D25"/>
    <w:rPr>
      <w:color w:val="605E5C"/>
      <w:shd w:val="clear" w:color="auto" w:fill="E1DFDD"/>
    </w:rPr>
  </w:style>
  <w:style w:type="character" w:styleId="FollowedHyperlink">
    <w:name w:val="FollowedHyperlink"/>
    <w:basedOn w:val="DefaultParagraphFont"/>
    <w:uiPriority w:val="99"/>
    <w:semiHidden/>
    <w:unhideWhenUsed/>
    <w:rsid w:val="00A71D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406">
      <w:bodyDiv w:val="1"/>
      <w:marLeft w:val="0"/>
      <w:marRight w:val="0"/>
      <w:marTop w:val="0"/>
      <w:marBottom w:val="0"/>
      <w:divBdr>
        <w:top w:val="none" w:sz="0" w:space="0" w:color="auto"/>
        <w:left w:val="none" w:sz="0" w:space="0" w:color="auto"/>
        <w:bottom w:val="none" w:sz="0" w:space="0" w:color="auto"/>
        <w:right w:val="none" w:sz="0" w:space="0" w:color="auto"/>
      </w:divBdr>
    </w:div>
    <w:div w:id="188178645">
      <w:bodyDiv w:val="1"/>
      <w:marLeft w:val="0"/>
      <w:marRight w:val="0"/>
      <w:marTop w:val="0"/>
      <w:marBottom w:val="0"/>
      <w:divBdr>
        <w:top w:val="none" w:sz="0" w:space="0" w:color="auto"/>
        <w:left w:val="none" w:sz="0" w:space="0" w:color="auto"/>
        <w:bottom w:val="none" w:sz="0" w:space="0" w:color="auto"/>
        <w:right w:val="none" w:sz="0" w:space="0" w:color="auto"/>
      </w:divBdr>
    </w:div>
    <w:div w:id="258218487">
      <w:bodyDiv w:val="1"/>
      <w:marLeft w:val="0"/>
      <w:marRight w:val="0"/>
      <w:marTop w:val="0"/>
      <w:marBottom w:val="0"/>
      <w:divBdr>
        <w:top w:val="none" w:sz="0" w:space="0" w:color="auto"/>
        <w:left w:val="none" w:sz="0" w:space="0" w:color="auto"/>
        <w:bottom w:val="none" w:sz="0" w:space="0" w:color="auto"/>
        <w:right w:val="none" w:sz="0" w:space="0" w:color="auto"/>
      </w:divBdr>
    </w:div>
    <w:div w:id="473135359">
      <w:bodyDiv w:val="1"/>
      <w:marLeft w:val="0"/>
      <w:marRight w:val="0"/>
      <w:marTop w:val="0"/>
      <w:marBottom w:val="0"/>
      <w:divBdr>
        <w:top w:val="none" w:sz="0" w:space="0" w:color="auto"/>
        <w:left w:val="none" w:sz="0" w:space="0" w:color="auto"/>
        <w:bottom w:val="none" w:sz="0" w:space="0" w:color="auto"/>
        <w:right w:val="none" w:sz="0" w:space="0" w:color="auto"/>
      </w:divBdr>
    </w:div>
    <w:div w:id="577596492">
      <w:bodyDiv w:val="1"/>
      <w:marLeft w:val="0"/>
      <w:marRight w:val="0"/>
      <w:marTop w:val="0"/>
      <w:marBottom w:val="0"/>
      <w:divBdr>
        <w:top w:val="none" w:sz="0" w:space="0" w:color="auto"/>
        <w:left w:val="none" w:sz="0" w:space="0" w:color="auto"/>
        <w:bottom w:val="none" w:sz="0" w:space="0" w:color="auto"/>
        <w:right w:val="none" w:sz="0" w:space="0" w:color="auto"/>
      </w:divBdr>
    </w:div>
    <w:div w:id="713582938">
      <w:bodyDiv w:val="1"/>
      <w:marLeft w:val="0"/>
      <w:marRight w:val="0"/>
      <w:marTop w:val="0"/>
      <w:marBottom w:val="0"/>
      <w:divBdr>
        <w:top w:val="none" w:sz="0" w:space="0" w:color="auto"/>
        <w:left w:val="none" w:sz="0" w:space="0" w:color="auto"/>
        <w:bottom w:val="none" w:sz="0" w:space="0" w:color="auto"/>
        <w:right w:val="none" w:sz="0" w:space="0" w:color="auto"/>
      </w:divBdr>
    </w:div>
    <w:div w:id="1174494919">
      <w:bodyDiv w:val="1"/>
      <w:marLeft w:val="0"/>
      <w:marRight w:val="0"/>
      <w:marTop w:val="0"/>
      <w:marBottom w:val="0"/>
      <w:divBdr>
        <w:top w:val="none" w:sz="0" w:space="0" w:color="auto"/>
        <w:left w:val="none" w:sz="0" w:space="0" w:color="auto"/>
        <w:bottom w:val="none" w:sz="0" w:space="0" w:color="auto"/>
        <w:right w:val="none" w:sz="0" w:space="0" w:color="auto"/>
      </w:divBdr>
    </w:div>
    <w:div w:id="1457606901">
      <w:bodyDiv w:val="1"/>
      <w:marLeft w:val="0"/>
      <w:marRight w:val="0"/>
      <w:marTop w:val="0"/>
      <w:marBottom w:val="0"/>
      <w:divBdr>
        <w:top w:val="none" w:sz="0" w:space="0" w:color="auto"/>
        <w:left w:val="none" w:sz="0" w:space="0" w:color="auto"/>
        <w:bottom w:val="none" w:sz="0" w:space="0" w:color="auto"/>
        <w:right w:val="none" w:sz="0" w:space="0" w:color="auto"/>
      </w:divBdr>
    </w:div>
    <w:div w:id="1541480692">
      <w:bodyDiv w:val="1"/>
      <w:marLeft w:val="0"/>
      <w:marRight w:val="0"/>
      <w:marTop w:val="0"/>
      <w:marBottom w:val="0"/>
      <w:divBdr>
        <w:top w:val="none" w:sz="0" w:space="0" w:color="auto"/>
        <w:left w:val="none" w:sz="0" w:space="0" w:color="auto"/>
        <w:bottom w:val="none" w:sz="0" w:space="0" w:color="auto"/>
        <w:right w:val="none" w:sz="0" w:space="0" w:color="auto"/>
      </w:divBdr>
    </w:div>
    <w:div w:id="1631354838">
      <w:bodyDiv w:val="1"/>
      <w:marLeft w:val="0"/>
      <w:marRight w:val="0"/>
      <w:marTop w:val="0"/>
      <w:marBottom w:val="0"/>
      <w:divBdr>
        <w:top w:val="none" w:sz="0" w:space="0" w:color="auto"/>
        <w:left w:val="none" w:sz="0" w:space="0" w:color="auto"/>
        <w:bottom w:val="none" w:sz="0" w:space="0" w:color="auto"/>
        <w:right w:val="none" w:sz="0" w:space="0" w:color="auto"/>
      </w:divBdr>
    </w:div>
    <w:div w:id="1753820178">
      <w:bodyDiv w:val="1"/>
      <w:marLeft w:val="0"/>
      <w:marRight w:val="0"/>
      <w:marTop w:val="0"/>
      <w:marBottom w:val="0"/>
      <w:divBdr>
        <w:top w:val="none" w:sz="0" w:space="0" w:color="auto"/>
        <w:left w:val="none" w:sz="0" w:space="0" w:color="auto"/>
        <w:bottom w:val="none" w:sz="0" w:space="0" w:color="auto"/>
        <w:right w:val="none" w:sz="0" w:space="0" w:color="auto"/>
      </w:divBdr>
    </w:div>
    <w:div w:id="1861898044">
      <w:bodyDiv w:val="1"/>
      <w:marLeft w:val="0"/>
      <w:marRight w:val="0"/>
      <w:marTop w:val="0"/>
      <w:marBottom w:val="0"/>
      <w:divBdr>
        <w:top w:val="none" w:sz="0" w:space="0" w:color="auto"/>
        <w:left w:val="none" w:sz="0" w:space="0" w:color="auto"/>
        <w:bottom w:val="none" w:sz="0" w:space="0" w:color="auto"/>
        <w:right w:val="none" w:sz="0" w:space="0" w:color="auto"/>
      </w:divBdr>
    </w:div>
    <w:div w:id="18864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net.com/wps/portal/uinet/networksfooter/suppliersandpartners/power_procurement/ss_and_lrs_rfp_documents/!ut/p/z1/tVLbTsJAEP0WH_pYZmlpqSbGEC8gWkRBC31ptu22rGl31-0W_HyH8GDiBTTGedqdOXM5MwdiWEAs6JqX1HApaIX_Zewnbje8HPXOySS47nnk_m4WTm5u5w6ZdCHaCxh7EP8l33d_lk--sQH5W38ExPvLP0EMcSaMMitYtlwwQ0udvO_QIoWUhmmLNK1SFWe6oSJXVBuBT4souWE6UVpmrWY1EwaBTYKQpNJNoguV5BjaBpptJ5XxHJapV1CHptTuH_vM7hUBs2nu-7bTTZ1eRt2ceD6MD1HH2_Lnl5d4gASkMOzVwOKfGWBLR4fnYYlMqFnZXBQSFp8qwOLbCtF2CwcUtxewldSho-LqykqmO_0PROoGOLBmBdNMd1qN7pUxqjmxiEVqyqtOKWVZsU4m653DIq1FMHhmaHoq66_KrGSDPD9kwxLl2H-fffgwDXD2q9C76Afu8IZAtOZsA49C6hrHm_1SEyMCqn5EqwPXq9a3I8KndRSYYDMvyqOjN-8nvA4!/dz/d5/L2dBISEvZ0FBIS9nQSEh/?current=true&amp;urile=wcm%3Apath%3A%2FUINETAGR_Navigation%2FFooter%2FSuppliersandPartners%2FPower_Procurement%2FSS_and_LRS_RFP_Documents%2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ipower@uine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inet.com/wps/portal/uinet/networksfooter/suppliersandpartners/!ut/p/z1/zVNLc4IwEP4tPXBkEgSEK7WIL9CqVMklEyHQdORhjPbx6xsOoocqnXam01wy2f1299vdLwCBNUAFObKMCFYWZCvfEepiXfPdgdGDgT00TPg4XfjBeLLswEADq5uAkQnQb-K7-vfi4ZXjwLb4J4AAigtRiWcQHVhBBck43h-qasso31eEi0LeCmxMmBQJPtvplsaCsxhfALKMUznCsvanJb_miklFYibeMae7A92Lr0w1vSpmCYigqduJZqWqoZNYNQy7o242EKo67BBNnjRNrBq96vnYm0zvnQnuTYOlu16CSIHhMHCXjjfHQbNeBfbLUlCuwMWJn2xt1nTmnjpr3Ni5pN-yOzlcdHs1q5pui3puAmp5tBWJJEnrnMGbz2yZoe-bD5ate2PJ4sjoKwiLkudS8IufDfwxdOey0t_NfgDBqE3b8vOyl90OOVLhZSHomwDr_yjxKg_DMLf1XF1DNst7m4-BgSLn7hMvqERT/dz/d5/L2dBISEvZ0FBIS9nQSEh/?current=true&amp;urile=wcm%3Apath%3A%2Fuinetagr_supplierspartners%2Fsuppliers_and_partners%2Felectric_suppliers_aggregators%2Ffor_suppliers_aggregators%2Fcapacity_requests%2Fcapacity_reques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IPower@uinet.com" TargetMode="External"/><Relationship Id="rId4" Type="http://schemas.openxmlformats.org/officeDocument/2006/relationships/settings" Target="settings.xml"/><Relationship Id="rId9" Type="http://schemas.openxmlformats.org/officeDocument/2006/relationships/hyperlink" Target="https://www.uinet.com/wps/portal/uinet/networksfooter/suppliersandpartners/power_procurement/active_rfps/historical_ui_load_data/!ut/p/z1/vVNZb9swDP4te_CjQzZKfAwohvRYT2c91sXxi6HYsq3CllRZTvfzx6APLbo1WVGgfJHE4yP5kYIMUsgUX8uaO6kVb-m9zIKc7SXHp5NDnEdnkyle_7hN5heXP8c434PFVofzKWQfiQ_Y_8XjGzLDj-Unh2w7_C_IICuUM66B5SCVcLy2-TOHHlZaO2E97AdjWilsz1VpuHWKrh4a_ShsbqwuBis6oZyHvHByLXJbGbI3snfayoK3-SDzVvMyL7njm6ymkCUsGXLGg3Dsx2Eo_EkZCz-OsfKLKgwCLMKQBTGc76KB5izvHx6yGTWjlRO_HaSf2A2lH9vkMKmpK-4aX6pKQ_oXGqQv0CB9C22xYWfHVm512KzdrsETpXWrV09_ZKZWLKLiraiEFXY0WFI3zpn-q4cedly2o1rruhWjQndPCg8HD8n4zfHVvu7-BdPonnp-FQ1LWtnwufaTm6uIav-eTI_CiJ1cICzWUjzCndK2o_Ju37krpwimuyPpIjZt15cH8dn95qySYzaZffkDL4HrXw!!/dz/d5/L2dBISEvZ0FBIS9nQSEh/?current=true&amp;urile=wcm%3Apath%3A%2FUINETAGR_Navigation%2FFooter%2FSuppliersandPartners%2FPower_Procurement%2FActive_RFPs%2FHistorical_UI_Load_Data%2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884B0.D9987E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3C278-B076-4691-AE07-88494911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Miller</dc:creator>
  <cp:lastModifiedBy>DANIELLE SHTAB</cp:lastModifiedBy>
  <cp:revision>4</cp:revision>
  <cp:lastPrinted>2020-07-27T04:30:00Z</cp:lastPrinted>
  <dcterms:created xsi:type="dcterms:W3CDTF">2022-06-23T18:11:00Z</dcterms:created>
  <dcterms:modified xsi:type="dcterms:W3CDTF">2022-06-23T18:34:00Z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MSIP_Label_624b1752-a977-4927-b9e6-e48a43684aee_Enabled">
    <vt:lpwstr>true</vt:lpwstr>
  </property>
  <property fmtid="{D5CDD505-2E9C-101B-9397-08002B2CF9AE}" pid="10" name="MSIP_Label_624b1752-a977-4927-b9e6-e48a43684aee_SetDate">
    <vt:lpwstr>2020-10-19T20:22:27Z</vt:lpwstr>
  </property>
  <property fmtid="{D5CDD505-2E9C-101B-9397-08002B2CF9AE}" pid="11" name="MSIP_Label_624b1752-a977-4927-b9e6-e48a43684aee_Method">
    <vt:lpwstr>Privileged</vt:lpwstr>
  </property>
  <property fmtid="{D5CDD505-2E9C-101B-9397-08002B2CF9AE}" pid="12" name="MSIP_Label_624b1752-a977-4927-b9e6-e48a43684aee_Name">
    <vt:lpwstr>Public</vt:lpwstr>
  </property>
  <property fmtid="{D5CDD505-2E9C-101B-9397-08002B2CF9AE}" pid="13" name="MSIP_Label_624b1752-a977-4927-b9e6-e48a43684aee_SiteId">
    <vt:lpwstr>031a09bc-a2bf-44df-888e-4e09355b7a24</vt:lpwstr>
  </property>
  <property fmtid="{D5CDD505-2E9C-101B-9397-08002B2CF9AE}" pid="14" name="MSIP_Label_624b1752-a977-4927-b9e6-e48a43684aee_ActionId">
    <vt:lpwstr>308879f3-8b79-4504-a3c0-00006b966f23</vt:lpwstr>
  </property>
</Properties>
</file>